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pacing w:val="-20"/>
          <w:sz w:val="32"/>
          <w:szCs w:val="1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18"/>
          <w:lang w:val="en-US" w:eastAsia="zh-CN"/>
        </w:rPr>
        <w:t>附件1：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2023年度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随州市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</w:rPr>
        <w:t>部门联合双随机抽查工作计划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val="en-US" w:eastAsia="zh-CN"/>
        </w:rPr>
        <w:t>征求建议稿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lang w:eastAsia="zh-CN"/>
        </w:rPr>
        <w:t>）</w:t>
      </w:r>
    </w:p>
    <w:p>
      <w:pPr>
        <w:spacing w:line="579" w:lineRule="exact"/>
        <w:jc w:val="center"/>
        <w:rPr>
          <w:rFonts w:hint="eastAsia" w:ascii="方正仿宋_GBK" w:hAnsi="方正仿宋_GBK" w:eastAsia="方正仿宋_GBK"/>
        </w:rPr>
      </w:pPr>
    </w:p>
    <w:tbl>
      <w:tblPr>
        <w:tblStyle w:val="2"/>
        <w:tblW w:w="57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145"/>
        <w:gridCol w:w="1784"/>
        <w:gridCol w:w="1527"/>
        <w:gridCol w:w="841"/>
        <w:gridCol w:w="841"/>
        <w:gridCol w:w="841"/>
        <w:gridCol w:w="84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序号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领域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抽查事项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检查对象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比例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发起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配合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实施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时间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highlight w:val="none"/>
                <w:lang w:bidi="ar"/>
              </w:rPr>
              <w:t>实施层级及牵头处室、单位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学校办学情况抽查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 xml:space="preserve">.学校招生、办学、收费等情况的检查 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学科类校外培训机构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15%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教育部门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7—8月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县级；省教育厅校外教育培训监管处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.学校食堂食品安全情况的抽查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130所高校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每学期不低于30%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教育部门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春秋季开学、五一 、十一、元旦等节点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省级（省学校后勤办公室、高校所在地市、县级市场监管局联合实施）；省市场监管局餐饮处。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中小学、幼儿园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市州100%，县市不少于30%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教育部门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春秋季开学、中高考等节 点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市、县级；省市场监管局餐饮处，省学校后勤工作办公室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影剧院、录像厅（室）、游艺厅（室）、舞厅、音乐厅经营卫生情况抽查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.游艺厅（室）、舞厅、音乐厅取得、公示相关许可证及其他情况的检查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游艺厅（室）、舞厅、音乐厅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文化旅游部门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公安、卫生健康、消防救援部门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市、县级；省文化和旅游厅文化市场综合执法监督处（局）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宾馆、旅店监督抽查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.宾馆、旅店取得许可证情况的检查</w:t>
            </w: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各类宾馆、旅店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市、州2%，直管市、神农架林区10%，县级10%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住建、卫健、市场监管、消防部门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11月底前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市、县级；省公安厅治安总队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.宾馆、旅店治安安全情况的检查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企业年度报告抽查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 xml:space="preserve">.年度报告公示信息的检查 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各类企业年报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信息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不低于 0.5%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人社、商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务、税务部门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省、市、县三级；省市场监管局信用处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车用油品质量监管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.重点区域车用油品质量抽查监测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车用油品生产、销售、运输、储存企业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生态环境、商务部门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4—9月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省、市、县三级；省市场监管局产品质量监督处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机动车排放检验机构检测情况抽查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.机动车排放和设备使用情况检查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机动车排放检验单位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7%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生态环境部门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5月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省、市、县三级；省市场监管局认检处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民用枪支经营使用单位抽查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.民用枪支制造企业经营情况的检查</w:t>
            </w: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民枪配售中心、射击竞技体育运动中心、狩猎场、护秋队等民枪从业单位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5%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市场监管、体育、林业部门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11月底前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省级、市级（每季度至少开展一次）、县区级（每月至少开展一次）；省公安厅治安总队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.民用枪支配售企业经营情况的检查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.民用枪支配置使用单位使用枪支情况的检查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保安行业相关单位抽查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.保安从业单位及其保安服务活动情况的检查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保安行业相关单位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8%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市场监管、人社部门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市、县级；省公安厅内保总队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9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爆破作业单位抽查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.民用爆破物仓储情况的检查</w:t>
            </w: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民爆物品生产单位、民爆物品销售单位、爆破作业单位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军民融合、市场监管、气象部门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11月底前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省级、市级（每季度至少开展一次）、县区级（每月至少开展一次）；省公安厅治安总队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.爆破作业单位有关制度情况的检查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  <w:highlight w:val="none"/>
              </w:rPr>
              <w:t>.爆破作业单位作业情况的检查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剧毒、易制爆危化品安全生产抽查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.剧毒、易制爆危险化学品储存场所治安防范情况的检查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剧毒、易制爆危险化学品从业单位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省、市级5%，县区级2%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应急管理、交通运输部门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11月底前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省级、市级（每季度至少开展一次）、县区级（每月至少开展一次）；省公安厅治安总队。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说明：此项抽查未纳入部门联合抽查事项清单，作为专项治理项目实施。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消防产品检查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.使用领域消防产品的检查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新投用的建设工程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消防救援部门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住建 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3—11月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市、县级；省消防救援总队火调技术处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  <w:t>12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工业企业安全生产情况的检查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.工业企业职业健康制度落实情况的检查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存在粉尘、化学毒物、噪声危害因素浓（强）度超标且从业人员10人及以上的工业企业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卫生健康部门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人社部门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省、市、县三级，省卫健委职业健康处；省人社厅工伤保险处，劳动保障监察处、总队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互联网上网服务营业场所的检查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.互联网上网服务营业场所的检查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经营性互联网文化单位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文化旅游部门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公安、税务部门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市、县级；省文化和旅游厅文化市场综合执法监督处（局）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营业性演出经营活动从业单位的检查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.营业性演出经营活动从业单位取得许可证情况的检查</w:t>
            </w: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营业性演出从业单位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文化旅游部门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消防救援部门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市、县级；省文化和旅游厅文化市场综合执法监督处（局）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.营业性演出经营活动从业单位经营、消防情况的检查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艺术品经营单位的检查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.艺术品经营单位从事艺术品经营活动的检查</w:t>
            </w:r>
          </w:p>
        </w:tc>
        <w:tc>
          <w:tcPr>
            <w:tcW w:w="1527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艺术品经营单位</w:t>
            </w:r>
          </w:p>
        </w:tc>
        <w:tc>
          <w:tcPr>
            <w:tcW w:w="84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文化旅游部门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市、县级；省文化和旅游厅文化市场综合执法监督处（局）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旅行社行业监管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.旅行社取得许可证情况的检查</w:t>
            </w: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旅行社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文化旅游部门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市、县级；省文化和旅游厅文化市场综合执法监督处（局）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.旅行社经营情况的检查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通过网络经营旅行业务抽查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.通过网络经营旅行社业务抽查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通过网络经营旅行社业务的企业及平台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3%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文化旅游部门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市、县级；省文化和旅游厅文化市场综合执法监督处（局）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.发布旅游经营信息网站抽查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发布旅游经营信息的网站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汽车市场监管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.报废机动车回收拆解活动监管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报废机动车回收拆解企业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商务部门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发改、生态环境、经信、交通运输、市场监管部门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7—9月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省级组织抽选，市州具体实施；省商务厅消费处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涉嫌税收违法当事人的抽查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29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.涉嫌税收违法的纳税人、扣缴义务人和其他涉税当事人的检查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涉嫌税收违法当事人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税务部门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w w:val="8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18"/>
                <w:szCs w:val="18"/>
                <w:highlight w:val="none"/>
                <w:lang w:bidi="ar"/>
              </w:rPr>
              <w:t>省级（检查对象所在市州相关部门配合）、市级（具体计划自行拟定）；省税务局稽查局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常压液体危险货物从业单位监督检查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.常压液体危险货物罐体检验检测机构（出厂检验）检查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常压液体危险货物罐体检验检测机构（出厂检验）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100%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交通运输部门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省、市、县三级；省市场监管局认检处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出口商品生产企业的检查</w:t>
            </w:r>
          </w:p>
        </w:tc>
        <w:tc>
          <w:tcPr>
            <w:tcW w:w="178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31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.对出口商品生产企业的检查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出口饲料和饲料添加剂注册生产、加工、存放企业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海关部门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税务、市场监管部门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全年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各隶属海关，武汉海关企业管理和稽查处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出境竹木草制品生产加工企业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出口商品生产企业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1%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出口备案食品生产企业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10%</w:t>
            </w: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劳动用工监管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32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.各类用人单位招工用工、工资支付、参保缴费等情况的检查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各类用人单位、人力资源服务机构、建筑施工项目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0.5%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人社部门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市场监管、住建部门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春季、冬季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省、市、县三级；省人社厅劳动保障监察处、总队。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18"/>
                <w:szCs w:val="18"/>
                <w:highlight w:val="none"/>
                <w:lang w:bidi="ar"/>
              </w:rPr>
              <w:t>说明：清理整顿人力资源市场秩序专项行动、根治欠薪专项行动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国家常规统计调查、部门统计调查、地方统计调查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33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.调查对象依法设置原始记录、统计台账以及统计数据质量情况检查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统计调查对象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1%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统计部门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发改、商务、市场监管部门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1—11月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省、市、县三级共同执行；省统计局政法处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  <w:lang w:val="en-US" w:eastAsia="zh-CN"/>
              </w:rPr>
            </w:pPr>
            <w:bookmarkStart w:id="0" w:name="_GoBack" w:colFirst="0" w:colLast="8"/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 w:bidi="ar"/>
              </w:rPr>
              <w:t>24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依法必须招标工程建设项目招标投标抽查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 w:bidi="ar"/>
              </w:rPr>
              <w:t>34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.依法必须招标工程建设项目招标投标情况的检查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2022年9月—2023年8月省级公共资源交易平台工程建设招投标项目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5%或者不少于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0个抽查对象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公共资源监管部门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发改、住建、交通运输、水利部门，公共资源交易（政府采购）中心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全年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yellow"/>
                <w:lang w:bidi="ar"/>
              </w:rPr>
              <w:t>省、市、县三级共同执行；省公共资源交易监管局法规处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养老机构监督检查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.养老机构建筑消防设计审查和验收情况检查</w:t>
            </w:r>
          </w:p>
        </w:tc>
        <w:tc>
          <w:tcPr>
            <w:tcW w:w="1527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全省备案登记养老机构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市州级10%，县区级30%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民政部门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住建、消防救援、市场监管部门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11月底前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市、县级；省民政厅养老服务处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36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.养老机构消防设施设备和消防安全管理情况检查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37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.养老机构特种设备使用单位监督检查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784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val="en-US" w:eastAsia="zh-CN" w:bidi="ar"/>
              </w:rPr>
              <w:t>38</w:t>
            </w: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highlight w:val="none"/>
                <w:lang w:bidi="ar"/>
              </w:rPr>
              <w:t>.养老机构服务质量及安全检查</w:t>
            </w:r>
          </w:p>
        </w:tc>
        <w:tc>
          <w:tcPr>
            <w:tcW w:w="152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  <w:highlight w:val="none"/>
              </w:rPr>
            </w:pPr>
          </w:p>
        </w:tc>
      </w:tr>
    </w:tbl>
    <w:p>
      <w:pPr>
        <w:spacing w:line="300" w:lineRule="exact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Cs w:val="32"/>
        </w:rPr>
        <w:t>说明：</w:t>
      </w:r>
      <w:r>
        <w:rPr>
          <w:rFonts w:hint="eastAsia" w:ascii="楷体_GB2312" w:hAnsi="楷体_GB2312" w:eastAsia="楷体_GB2312" w:cs="楷体_GB2312"/>
          <w:szCs w:val="32"/>
        </w:rPr>
        <w:t>部门联合抽查计划原则上由省、市、县三级自行制定并组织实施，省级部门对本系统部门联合双随机抽查工作指导、督办。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zc0MDAxYmVlM2IyMWJlZGRjYTQ4ZGFjMTQzYTkifQ=="/>
    <w:docVar w:name="KSO_WPS_MARK_KEY" w:val="5b149714-02bc-4c73-8c26-b5a4d0124169"/>
  </w:docVars>
  <w:rsids>
    <w:rsidRoot w:val="00000000"/>
    <w:rsid w:val="01A56261"/>
    <w:rsid w:val="2F190180"/>
    <w:rsid w:val="315D029E"/>
    <w:rsid w:val="3F3D0442"/>
    <w:rsid w:val="4DBC35DF"/>
    <w:rsid w:val="4FC479DB"/>
    <w:rsid w:val="5F59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2872</Words>
  <Characters>3031</Characters>
  <Lines>0</Lines>
  <Paragraphs>0</Paragraphs>
  <TotalTime>12</TotalTime>
  <ScaleCrop>false</ScaleCrop>
  <LinksUpToDate>false</LinksUpToDate>
  <CharactersWithSpaces>3037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2023-02-08T07:20:00Z</dcterms:created>
  <dc:creator>Administrator</dc:creator>
  <cp:lastModifiedBy>洪洁</cp:lastModifiedBy>
  <cp:lastPrinted>2023-02-20T07:18:00Z</cp:lastPrinted>
  <dcterms:modified xsi:type="dcterms:W3CDTF">2023-02-23T02:05:37Z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714F58F70AC3487E996BF0298A4AF82A</vt:lpwstr>
  </property>
</Properties>
</file>