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60" w:lineRule="atLeast"/>
        <w:jc w:val="left"/>
        <w:rPr>
          <w:rFonts w:hint="eastAsia" w:ascii="仿宋" w:hAnsi="仿宋" w:eastAsia="仿宋" w:cs="宋体"/>
          <w:color w:val="333333"/>
          <w:kern w:val="0"/>
          <w:sz w:val="32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24"/>
        </w:rPr>
        <w:t>附件：</w:t>
      </w:r>
    </w:p>
    <w:tbl>
      <w:tblPr>
        <w:tblStyle w:val="2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693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Theme="majorEastAsia" w:hAnsiTheme="majorEastAsia" w:eastAsiaTheme="majorEastAsia"/>
                <w:sz w:val="36"/>
                <w:shd w:val="clear" w:color="auto" w:fill="FFFFFF"/>
                <w:lang w:val="en-US" w:eastAsia="zh-CN"/>
              </w:rPr>
              <w:t>6项</w:t>
            </w:r>
            <w:r>
              <w:rPr>
                <w:rFonts w:hint="eastAsia" w:asciiTheme="majorEastAsia" w:hAnsiTheme="majorEastAsia" w:eastAsiaTheme="majorEastAsia"/>
                <w:sz w:val="36"/>
                <w:shd w:val="clear" w:color="auto" w:fill="FFFFFF"/>
              </w:rPr>
              <w:t>随州市地方标准废止清单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标准名称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DB4213/T1-2005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无公害食品  黑木耳段木栽培技术规程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DB4213/T2-2005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无公害食品  袋料香菇秋季栽培技术规程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DB4213/T8-2005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无公害食品香菇段木栽培技术规程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DB4213/T13-2008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无公害食品  袋料香菇春季栽培技术规程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DB4213/T18-2008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洪山鸡养殖技术规程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DB4213/T22-2011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无公害食品 马铃薯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Nzk0MDgyOGJhYzQ0YWRhOWFkNDY2YjhlMjNlYmYifQ=="/>
  </w:docVars>
  <w:rsids>
    <w:rsidRoot w:val="3AB7115B"/>
    <w:rsid w:val="3AB7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2024-06-04T07:36:00Z</dcterms:created>
  <dc:creator>一眼万年</dc:creator>
  <cp:lastModifiedBy>一眼万年</cp:lastModifiedBy>
  <dcterms:modified xsi:type="dcterms:W3CDTF">2024-06-04T07:37:26Z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178B584C51EE4FB5A10D1433A2571541_11</vt:lpwstr>
  </property>
</Properties>
</file>